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CD0" w:rsidRPr="00E077B2" w:rsidRDefault="000B5CD0" w:rsidP="000B5CD0">
      <w:pPr>
        <w:pStyle w:val="Sinespaciado"/>
        <w:jc w:val="both"/>
        <w:rPr>
          <w:rFonts w:ascii="Arial" w:eastAsia="Calibri" w:hAnsi="Arial" w:cs="Arial"/>
          <w:b/>
          <w:bCs/>
          <w:color w:val="000000"/>
          <w:lang w:eastAsia="ca-ES"/>
        </w:rPr>
      </w:pPr>
      <w:r w:rsidRPr="00E077B2">
        <w:rPr>
          <w:rFonts w:ascii="Arial" w:eastAsia="Calibri" w:hAnsi="Arial" w:cs="Arial"/>
          <w:b/>
          <w:bCs/>
          <w:color w:val="000000"/>
          <w:lang w:eastAsia="ca-ES"/>
        </w:rPr>
        <w:t xml:space="preserve">PROPOSTA DE CRITERIS </w:t>
      </w:r>
      <w:r w:rsidR="00F45784" w:rsidRPr="00E077B2">
        <w:rPr>
          <w:rFonts w:ascii="Arial" w:eastAsia="Calibri" w:hAnsi="Arial" w:cs="Arial"/>
          <w:b/>
          <w:bCs/>
          <w:color w:val="000000"/>
          <w:lang w:eastAsia="ca-ES"/>
        </w:rPr>
        <w:t>DE PENALITATS</w:t>
      </w:r>
      <w:r w:rsidRPr="00E077B2">
        <w:rPr>
          <w:rFonts w:ascii="Arial" w:eastAsia="Calibri" w:hAnsi="Arial" w:cs="Arial"/>
          <w:b/>
          <w:bCs/>
          <w:color w:val="000000"/>
          <w:lang w:eastAsia="ca-ES"/>
        </w:rPr>
        <w:t xml:space="preserve"> A INCLOURE AL PCAP</w:t>
      </w:r>
    </w:p>
    <w:p w:rsidR="00F45784" w:rsidRPr="00E077B2" w:rsidRDefault="00F45784" w:rsidP="00F45784">
      <w:pPr>
        <w:pStyle w:val="Encabezado2"/>
        <w:rPr>
          <w:rFonts w:ascii="Arial" w:eastAsia="Lato" w:hAnsi="Arial" w:cs="Arial"/>
        </w:rPr>
      </w:pPr>
      <w:bookmarkStart w:id="0" w:name="_Toc35947940"/>
      <w:r w:rsidRPr="00E077B2">
        <w:rPr>
          <w:rFonts w:ascii="Arial" w:eastAsia="Lato" w:hAnsi="Arial" w:cs="Arial"/>
        </w:rPr>
        <w:t>Penalitats</w:t>
      </w:r>
      <w:bookmarkEnd w:id="0"/>
    </w:p>
    <w:p w:rsidR="00F45784" w:rsidRPr="00E077B2" w:rsidRDefault="00E077B2" w:rsidP="00F45784">
      <w:pPr>
        <w:spacing w:before="120"/>
        <w:jc w:val="both"/>
        <w:rPr>
          <w:rFonts w:ascii="Arial" w:eastAsia="Lato" w:hAnsi="Arial" w:cs="Arial"/>
          <w:sz w:val="22"/>
          <w:szCs w:val="22"/>
        </w:rPr>
      </w:pPr>
      <w:r w:rsidRPr="00E077B2">
        <w:rPr>
          <w:rFonts w:ascii="Arial" w:eastAsia="Lato" w:hAnsi="Arial" w:cs="Arial"/>
          <w:sz w:val="22"/>
          <w:szCs w:val="22"/>
        </w:rPr>
        <w:t>L’empresa adjudicatària</w:t>
      </w:r>
      <w:r w:rsidR="00F45784" w:rsidRPr="00E077B2">
        <w:rPr>
          <w:rFonts w:ascii="Arial" w:eastAsia="Lato" w:hAnsi="Arial" w:cs="Arial"/>
          <w:sz w:val="22"/>
          <w:szCs w:val="22"/>
        </w:rPr>
        <w:t xml:space="preserve"> queda obligat al compliment del termini d’execució total del contracte en els termes previstos en el Plec, així com els terminis parcials derivats de la seva execució successiva.</w:t>
      </w: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sz w:val="22"/>
          <w:szCs w:val="22"/>
        </w:rPr>
      </w:pPr>
      <w:r w:rsidRPr="00E077B2">
        <w:rPr>
          <w:rFonts w:ascii="Arial" w:eastAsia="Lato" w:hAnsi="Arial" w:cs="Arial"/>
          <w:sz w:val="22"/>
          <w:szCs w:val="22"/>
        </w:rPr>
        <w:t>El règim de penalitats per execució defectuosa o demora serà el previst a l’article 193 i 193 de la LCSP.</w:t>
      </w: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sz w:val="22"/>
          <w:szCs w:val="22"/>
        </w:rPr>
      </w:pPr>
      <w:r w:rsidRPr="00E077B2">
        <w:rPr>
          <w:rFonts w:ascii="Arial" w:eastAsia="Lato" w:hAnsi="Arial" w:cs="Arial"/>
          <w:sz w:val="22"/>
          <w:szCs w:val="22"/>
        </w:rPr>
        <w:t>Es consideraran infraccions sancionables a efectes contractuals, totes les actuacions i omissions de</w:t>
      </w:r>
      <w:r w:rsidR="00E077B2" w:rsidRPr="00E077B2">
        <w:rPr>
          <w:rFonts w:ascii="Arial" w:eastAsia="Lato" w:hAnsi="Arial" w:cs="Arial"/>
          <w:sz w:val="22"/>
          <w:szCs w:val="22"/>
        </w:rPr>
        <w:t xml:space="preserve"> l’empresa adjudicatària </w:t>
      </w:r>
      <w:r w:rsidRPr="00E077B2">
        <w:rPr>
          <w:rFonts w:ascii="Arial" w:eastAsia="Lato" w:hAnsi="Arial" w:cs="Arial"/>
          <w:sz w:val="22"/>
          <w:szCs w:val="22"/>
        </w:rPr>
        <w:t>tipificades com segueix i que comportin un perjudici o una pèrdua en relació a les exigències especificades en aquest plec i en el plec de prescripcions tècniques.</w:t>
      </w: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sz w:val="22"/>
          <w:szCs w:val="22"/>
        </w:rPr>
      </w:pPr>
      <w:r w:rsidRPr="00E077B2">
        <w:rPr>
          <w:rFonts w:ascii="Arial" w:eastAsia="Lato" w:hAnsi="Arial" w:cs="Arial"/>
          <w:sz w:val="22"/>
          <w:szCs w:val="22"/>
        </w:rPr>
        <w:t>Les demores, els incompliments defectuosos i els incompliments de les obligacions imputables a</w:t>
      </w:r>
      <w:r w:rsidR="00E077B2" w:rsidRPr="00E077B2">
        <w:rPr>
          <w:rFonts w:ascii="Arial" w:eastAsia="Lato" w:hAnsi="Arial" w:cs="Arial"/>
          <w:sz w:val="22"/>
          <w:szCs w:val="22"/>
        </w:rPr>
        <w:t xml:space="preserve"> l’empresa adjudicatària</w:t>
      </w:r>
      <w:r w:rsidRPr="00E077B2">
        <w:rPr>
          <w:rFonts w:ascii="Arial" w:eastAsia="Lato" w:hAnsi="Arial" w:cs="Arial"/>
          <w:sz w:val="22"/>
          <w:szCs w:val="22"/>
        </w:rPr>
        <w:t xml:space="preserve"> durant la vigència del contracte són classificades com a infraccions molt greus, greus i lleus.</w:t>
      </w: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b/>
          <w:color w:val="262626"/>
          <w:sz w:val="22"/>
          <w:szCs w:val="22"/>
        </w:rPr>
      </w:pPr>
      <w:r w:rsidRPr="00E077B2">
        <w:rPr>
          <w:rFonts w:ascii="Arial" w:eastAsia="Lato" w:hAnsi="Arial" w:cs="Arial"/>
          <w:b/>
          <w:color w:val="262626"/>
          <w:sz w:val="22"/>
          <w:szCs w:val="22"/>
        </w:rPr>
        <w:t>a) Infraccions molt greus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L’incompliment de les obligacions en matèria mediambiental, social o laboral  establertes pel dret de la Unió Europea, el dret nacional, els convenis col·lectius o per les disposicions de dret internacional mediambiental, social i laboral que vinculen l’Estat i en particular dels establerts a l’annex V del la Llei 9/2017, de 8 de novembre, de contractes del sector públic.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Impedir o dificultar les tasques de supervisió i control del servei per part del responsable del contracte, o bé realitzar accions que posin en risc l’interès públic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Realitzar conductes que tinguin per objecte o puguin produir l’efecte d’impedir, restringir o falsejar la competència com per exemple els comportaments col·lusoris o de competència fraudulenta (ofertes de resguard, eliminació d’ofertes, assignació de mercats, rotació d’ofertes, etc.).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L’impagament de més de dues mensualitats, durant l’execució del contracte, dels salaris per part </w:t>
      </w:r>
      <w:r w:rsidR="00E077B2" w:rsidRPr="00E077B2">
        <w:rPr>
          <w:rFonts w:ascii="Arial" w:eastAsia="Lato" w:hAnsi="Arial" w:cs="Arial"/>
        </w:rPr>
        <w:t xml:space="preserve">de l’empresa adjudicatària </w:t>
      </w:r>
      <w:r w:rsidRPr="00E077B2">
        <w:rPr>
          <w:rFonts w:ascii="Arial" w:eastAsia="Lato" w:hAnsi="Arial" w:cs="Arial"/>
          <w:color w:val="000000"/>
        </w:rPr>
        <w:t>als treballadors que estiguessin participant en la prestació.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L’aplicació greu i dolosa, per part </w:t>
      </w:r>
      <w:r w:rsidR="00E077B2" w:rsidRPr="00E077B2">
        <w:rPr>
          <w:rFonts w:ascii="Arial" w:eastAsia="Lato" w:hAnsi="Arial" w:cs="Arial"/>
        </w:rPr>
        <w:t>de l’empresa adjudicatària</w:t>
      </w:r>
      <w:r w:rsidRPr="00E077B2">
        <w:rPr>
          <w:rFonts w:ascii="Arial" w:eastAsia="Lato" w:hAnsi="Arial" w:cs="Arial"/>
          <w:color w:val="000000"/>
        </w:rPr>
        <w:t xml:space="preserve">, de condicions salarials inferiors a les derivades de conveni col·lectiu sectorial aplicable als treballadors que estiguin participant en la prestació. 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Reincidència en la comissió de tres faltes greus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Incompliment de les condicions especials d’execució per part </w:t>
      </w:r>
      <w:r w:rsidR="00E077B2" w:rsidRPr="00E077B2">
        <w:rPr>
          <w:rFonts w:ascii="Arial" w:eastAsia="Lato" w:hAnsi="Arial" w:cs="Arial"/>
        </w:rPr>
        <w:t xml:space="preserve">de l’empresa adjudicatària </w:t>
      </w:r>
      <w:r w:rsidRPr="00E077B2">
        <w:rPr>
          <w:rFonts w:ascii="Arial" w:eastAsia="Lato" w:hAnsi="Arial" w:cs="Arial"/>
          <w:color w:val="000000"/>
        </w:rPr>
        <w:t>o subcontract</w:t>
      </w:r>
      <w:r w:rsidR="00E077B2" w:rsidRPr="00E077B2">
        <w:rPr>
          <w:rFonts w:ascii="Arial" w:eastAsia="Lato" w:hAnsi="Arial" w:cs="Arial"/>
          <w:color w:val="000000"/>
        </w:rPr>
        <w:t>ada</w:t>
      </w:r>
      <w:r w:rsidRPr="00E077B2">
        <w:rPr>
          <w:rFonts w:ascii="Arial" w:eastAsia="Lato" w:hAnsi="Arial" w:cs="Arial"/>
          <w:color w:val="000000"/>
        </w:rPr>
        <w:t xml:space="preserve"> establertes al Quadre de característiques.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subministrament de biomassa en un termini superior a  8 dies naturals després de la sol·licitud de l’ajuntament, sense causa justificada .</w:t>
      </w:r>
    </w:p>
    <w:p w:rsidR="00F45784" w:rsidRPr="00E077B2" w:rsidRDefault="00F45784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Falsejar el seguiment dels paràmetres de consum energètic dels comptadors d’energia instal·lats amb telemesura o bé falsejar els consum d’estella de forma reiterada.</w:t>
      </w:r>
    </w:p>
    <w:p w:rsidR="008A7A5D" w:rsidRPr="00E077B2" w:rsidRDefault="008A7A5D" w:rsidP="00F4578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complir les condicions especials d’execució establertes en el PCAP</w:t>
      </w:r>
    </w:p>
    <w:p w:rsidR="00F45784" w:rsidRPr="00E077B2" w:rsidRDefault="00F45784" w:rsidP="00F457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Lato" w:hAnsi="Arial" w:cs="Arial"/>
          <w:color w:val="000000"/>
        </w:rPr>
      </w:pPr>
    </w:p>
    <w:p w:rsidR="00F45784" w:rsidRPr="00E077B2" w:rsidRDefault="00F45784" w:rsidP="00F4578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jc w:val="both"/>
        <w:rPr>
          <w:rFonts w:ascii="Arial" w:eastAsia="Lato" w:hAnsi="Arial" w:cs="Arial"/>
          <w:color w:val="000000"/>
        </w:rPr>
      </w:pP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b/>
          <w:color w:val="262626"/>
          <w:sz w:val="22"/>
          <w:szCs w:val="22"/>
        </w:rPr>
      </w:pPr>
      <w:r w:rsidRPr="00E077B2">
        <w:rPr>
          <w:rFonts w:ascii="Arial" w:eastAsia="Lato" w:hAnsi="Arial" w:cs="Arial"/>
          <w:b/>
          <w:color w:val="262626"/>
          <w:sz w:val="22"/>
          <w:szCs w:val="22"/>
        </w:rPr>
        <w:t>b) Infraccions greus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lastRenderedPageBreak/>
        <w:t>Desobediència en les indicacions efectuades pel responsable del contracte en relació a la prestació.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posar en coneixement del responsable del contracte prèviament a la celebració de qualsevol acte de publicitat o difusió de l’empresa adjudicatària relativa a l’objecte d’aquest contracte.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observar els principis, les normes i els cànons ètics propis de les activitats, els oficis i/o les professions corresponents a les prestacions objecte dels contractes.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respectar els acords i les normes de confidencialitat.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col·laborar amb l’òrgan de contractació en les actuacions que aquest realitzi per al seguiment i/o l’avaluació del compliment del contracte, particularment facilitant la informació que li sigui sol·licitada per a aquestes finalitats i que la legislació de transparència i els contractes del sector públic imposen als adjudicataris en relació amb l’Administració o administracions de referència, sens perjudici del compliment de les obligacions de transparència que els pertoquin de forma directa per previsió legal.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L’impagament de fins a dues mensualitats, durant l’execució del contracte, dels salaris per part </w:t>
      </w:r>
      <w:r w:rsidR="00E077B2" w:rsidRPr="00E077B2">
        <w:rPr>
          <w:rFonts w:ascii="Arial" w:eastAsia="Lato" w:hAnsi="Arial" w:cs="Arial"/>
        </w:rPr>
        <w:t xml:space="preserve">de l’empresa adjudicatària </w:t>
      </w:r>
      <w:r w:rsidRPr="00E077B2">
        <w:rPr>
          <w:rFonts w:ascii="Arial" w:eastAsia="Lato" w:hAnsi="Arial" w:cs="Arial"/>
          <w:color w:val="000000"/>
        </w:rPr>
        <w:t xml:space="preserve">als treballadors que estiguessin participant en la prestació. 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L’aplicació, per part </w:t>
      </w:r>
      <w:r w:rsidR="00E077B2" w:rsidRPr="00E077B2">
        <w:rPr>
          <w:rFonts w:ascii="Arial" w:eastAsia="Lato" w:hAnsi="Arial" w:cs="Arial"/>
        </w:rPr>
        <w:t>de l’empresa adjudicatària</w:t>
      </w:r>
      <w:r w:rsidRPr="00E077B2">
        <w:rPr>
          <w:rFonts w:ascii="Arial" w:eastAsia="Lato" w:hAnsi="Arial" w:cs="Arial"/>
          <w:color w:val="000000"/>
        </w:rPr>
        <w:t xml:space="preserve">, de condicions salarials inferiors a les derivades de conveni col·lectiu sectorial aplicable als treballadors que estiguin participant en la prestació. 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Reincidència en la comissió de tres faltes lleus.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Superar les emissions en el transport de l’estella establertes en el PPTP</w:t>
      </w:r>
    </w:p>
    <w:p w:rsidR="00F45784" w:rsidRPr="00E077B2" w:rsidRDefault="00F45784" w:rsidP="00F45784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Servir de forma reiterada estella que no compleixi les característiques tècniques requerides en el plec tècnic, tant pel que fa a granulometria, humitat o or</w:t>
      </w:r>
      <w:r w:rsidR="009C48D0" w:rsidRPr="00E077B2">
        <w:rPr>
          <w:rFonts w:ascii="Arial" w:eastAsia="Lato" w:hAnsi="Arial" w:cs="Arial"/>
          <w:color w:val="000000"/>
        </w:rPr>
        <w:t>i</w:t>
      </w:r>
      <w:r w:rsidRPr="00E077B2">
        <w:rPr>
          <w:rFonts w:ascii="Arial" w:eastAsia="Lato" w:hAnsi="Arial" w:cs="Arial"/>
          <w:color w:val="000000"/>
        </w:rPr>
        <w:t>gen.</w:t>
      </w:r>
    </w:p>
    <w:p w:rsidR="00CE1D5C" w:rsidRPr="00E077B2" w:rsidRDefault="00F45784" w:rsidP="00CE1D5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Retards sistemàtics en el lliurament d’informes de traçabilitat o els que es puguin derivar del contracte</w:t>
      </w:r>
    </w:p>
    <w:p w:rsidR="00CE1D5C" w:rsidRPr="00E077B2" w:rsidRDefault="00F45784" w:rsidP="00CE1D5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F81BD" w:themeColor="accent1"/>
        </w:rPr>
      </w:pPr>
      <w:r w:rsidRPr="00E077B2">
        <w:rPr>
          <w:rFonts w:ascii="Arial" w:eastAsia="Lato" w:hAnsi="Arial" w:cs="Arial"/>
          <w:color w:val="000000"/>
        </w:rPr>
        <w:t>Retards sistemàtics en el lliurament de l’estella sol·licitada per l’Ajuntament i la prevista en el present plec</w:t>
      </w:r>
      <w:r w:rsidR="00CE1D5C" w:rsidRPr="00E077B2">
        <w:rPr>
          <w:rFonts w:ascii="Arial" w:eastAsia="Lato" w:hAnsi="Arial" w:cs="Arial"/>
          <w:color w:val="000000"/>
        </w:rPr>
        <w:t xml:space="preserve">. </w:t>
      </w:r>
      <w:r w:rsidR="00CE1D5C" w:rsidRPr="00E077B2">
        <w:rPr>
          <w:rFonts w:ascii="Arial" w:eastAsia="Arial" w:hAnsi="Arial" w:cs="Arial"/>
          <w:color w:val="4F81BD" w:themeColor="accent1"/>
        </w:rPr>
        <w:t xml:space="preserve">En cas que s’ofereixi com a millora, la telegestió i omplerta de la sitja per part </w:t>
      </w:r>
      <w:r w:rsidR="00E077B2" w:rsidRPr="00E077B2">
        <w:rPr>
          <w:rFonts w:ascii="Arial" w:eastAsia="Arial" w:hAnsi="Arial" w:cs="Arial"/>
          <w:color w:val="4F81BD" w:themeColor="accent1"/>
        </w:rPr>
        <w:t>de l’empresa adjudicatària</w:t>
      </w:r>
      <w:r w:rsidR="00CE1D5C" w:rsidRPr="00E077B2">
        <w:rPr>
          <w:rFonts w:ascii="Arial" w:eastAsia="Arial" w:hAnsi="Arial" w:cs="Arial"/>
          <w:color w:val="4F81BD" w:themeColor="accent1"/>
        </w:rPr>
        <w:t>, la gestió de l’estella sol·licitada</w:t>
      </w:r>
      <w:r w:rsidR="007A629C" w:rsidRPr="00E077B2">
        <w:rPr>
          <w:rFonts w:ascii="Arial" w:eastAsia="Arial" w:hAnsi="Arial" w:cs="Arial"/>
          <w:color w:val="4F81BD" w:themeColor="accent1"/>
        </w:rPr>
        <w:t xml:space="preserve"> i els possibles retards de lliurament</w:t>
      </w:r>
      <w:r w:rsidR="00CE1D5C" w:rsidRPr="00E077B2">
        <w:rPr>
          <w:rFonts w:ascii="Arial" w:eastAsia="Arial" w:hAnsi="Arial" w:cs="Arial"/>
          <w:color w:val="4F81BD" w:themeColor="accent1"/>
        </w:rPr>
        <w:t xml:space="preserve"> serà responsabilitat </w:t>
      </w:r>
      <w:r w:rsidR="00E077B2" w:rsidRPr="00E077B2">
        <w:rPr>
          <w:rFonts w:ascii="Arial" w:eastAsia="Arial" w:hAnsi="Arial" w:cs="Arial"/>
          <w:color w:val="4F81BD" w:themeColor="accent1"/>
        </w:rPr>
        <w:t>de l’empresa adjudicatària</w:t>
      </w:r>
      <w:r w:rsidR="00CE1D5C" w:rsidRPr="00E077B2">
        <w:rPr>
          <w:rFonts w:ascii="Arial" w:eastAsia="Arial" w:hAnsi="Arial" w:cs="Arial"/>
          <w:color w:val="4F81BD" w:themeColor="accent1"/>
        </w:rPr>
        <w:t>.</w:t>
      </w:r>
    </w:p>
    <w:p w:rsidR="00F45784" w:rsidRPr="00E077B2" w:rsidRDefault="00F45784" w:rsidP="00CE1D5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Lato" w:hAnsi="Arial" w:cs="Arial"/>
          <w:color w:val="000000"/>
        </w:rPr>
      </w:pP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b/>
          <w:color w:val="262626"/>
          <w:sz w:val="22"/>
          <w:szCs w:val="22"/>
        </w:rPr>
      </w:pPr>
      <w:r w:rsidRPr="00E077B2">
        <w:rPr>
          <w:rFonts w:ascii="Arial" w:eastAsia="Lato" w:hAnsi="Arial" w:cs="Arial"/>
          <w:b/>
          <w:color w:val="262626"/>
          <w:sz w:val="22"/>
          <w:szCs w:val="22"/>
        </w:rPr>
        <w:t>c) Infraccions lleus</w:t>
      </w:r>
    </w:p>
    <w:p w:rsidR="00F45784" w:rsidRPr="00E077B2" w:rsidRDefault="00F45784" w:rsidP="00F4578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No comunicar immediatament al responsable del contracte les deficiències o irregularitats en la prestació del servei.</w:t>
      </w:r>
    </w:p>
    <w:p w:rsidR="00F45784" w:rsidRPr="00E077B2" w:rsidRDefault="00F45784" w:rsidP="00F4578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Incorreccions repetitives en la facturació per part </w:t>
      </w:r>
      <w:r w:rsidR="00E077B2" w:rsidRPr="00E077B2">
        <w:rPr>
          <w:rFonts w:ascii="Arial" w:eastAsia="Lato" w:hAnsi="Arial" w:cs="Arial"/>
        </w:rPr>
        <w:t>de l’empresa adjudicatària</w:t>
      </w:r>
      <w:r w:rsidRPr="00E077B2">
        <w:rPr>
          <w:rFonts w:ascii="Arial" w:eastAsia="Lato" w:hAnsi="Arial" w:cs="Arial"/>
          <w:color w:val="000000"/>
        </w:rPr>
        <w:t>.</w:t>
      </w:r>
    </w:p>
    <w:p w:rsidR="00F45784" w:rsidRPr="00E077B2" w:rsidRDefault="00F45784" w:rsidP="00F4578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Els retard reiterats en el pagament, durant l’execució del contracte, dels salaris per part </w:t>
      </w:r>
      <w:r w:rsidR="00E077B2" w:rsidRPr="00E077B2">
        <w:rPr>
          <w:rFonts w:ascii="Arial" w:eastAsia="Lato" w:hAnsi="Arial" w:cs="Arial"/>
        </w:rPr>
        <w:t xml:space="preserve">de l’empresa adjudicatària </w:t>
      </w:r>
      <w:r w:rsidRPr="00E077B2">
        <w:rPr>
          <w:rFonts w:ascii="Arial" w:eastAsia="Lato" w:hAnsi="Arial" w:cs="Arial"/>
          <w:color w:val="000000"/>
        </w:rPr>
        <w:t xml:space="preserve">als treballadors que estiguessin participant en la prestació. </w:t>
      </w:r>
    </w:p>
    <w:p w:rsidR="00F45784" w:rsidRPr="00E077B2" w:rsidRDefault="00F45784" w:rsidP="00F45784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Aquells incompliments no previstos anteriorment i que suposin l’incompliment de les obligacions o condicions establertes en aquest plec o el plec de prescripcions tècniques</w:t>
      </w:r>
    </w:p>
    <w:p w:rsidR="00F45784" w:rsidRPr="00E077B2" w:rsidRDefault="00F45784" w:rsidP="00F45784">
      <w:pPr>
        <w:pStyle w:val="Encabezado3"/>
        <w:rPr>
          <w:rFonts w:ascii="Arial" w:eastAsia="Lato" w:hAnsi="Arial" w:cs="Arial"/>
        </w:rPr>
      </w:pPr>
      <w:bookmarkStart w:id="1" w:name="_Toc35947941"/>
      <w:r w:rsidRPr="00E077B2">
        <w:rPr>
          <w:rFonts w:ascii="Arial" w:eastAsia="Lato" w:hAnsi="Arial" w:cs="Arial"/>
        </w:rPr>
        <w:lastRenderedPageBreak/>
        <w:t>Penalitats contractuals</w:t>
      </w:r>
      <w:bookmarkEnd w:id="1"/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sz w:val="22"/>
          <w:szCs w:val="22"/>
        </w:rPr>
      </w:pPr>
      <w:r w:rsidRPr="00E077B2">
        <w:rPr>
          <w:rFonts w:ascii="Arial" w:eastAsia="Lato" w:hAnsi="Arial" w:cs="Arial"/>
          <w:sz w:val="22"/>
          <w:szCs w:val="22"/>
        </w:rPr>
        <w:t>La comissió d’infraccions contractuals per part de l’empresa adjudicatària comportarà, previ procediment sancionador contradictori instruït a l’efecte, la imposició de les següents penalitats contractuals:</w:t>
      </w:r>
    </w:p>
    <w:p w:rsidR="00F45784" w:rsidRPr="00E077B2" w:rsidRDefault="00F45784" w:rsidP="00F4578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Infraccions molt greus, multes de fins al 2% del valor total del lot del contracte.</w:t>
      </w:r>
    </w:p>
    <w:p w:rsidR="00F45784" w:rsidRPr="00E077B2" w:rsidRDefault="00F45784" w:rsidP="00F4578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Infraccions greus, multes de fins a l’1% del valor total del lot del contracte.</w:t>
      </w:r>
    </w:p>
    <w:p w:rsidR="00F45784" w:rsidRPr="00E077B2" w:rsidRDefault="00F45784" w:rsidP="00F4578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Infraccions lleus, multes de fins al 0,25% del valor total del lot del contracte.</w:t>
      </w:r>
    </w:p>
    <w:p w:rsidR="00F45784" w:rsidRPr="00E077B2" w:rsidRDefault="00F45784" w:rsidP="00F45784">
      <w:pPr>
        <w:spacing w:before="120"/>
        <w:jc w:val="both"/>
        <w:rPr>
          <w:rFonts w:ascii="Arial" w:eastAsia="Lato" w:hAnsi="Arial" w:cs="Arial"/>
          <w:sz w:val="22"/>
          <w:szCs w:val="22"/>
        </w:rPr>
      </w:pPr>
      <w:r w:rsidRPr="00E077B2">
        <w:rPr>
          <w:rFonts w:ascii="Arial" w:eastAsia="Lato" w:hAnsi="Arial" w:cs="Arial"/>
          <w:sz w:val="22"/>
          <w:szCs w:val="22"/>
        </w:rPr>
        <w:t>Per a la imposició de la multa corresponent, l’òrgan de contractació tindrà en consideració els següents criteris de graduació: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la gravetat de la infracció comesa,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la importància econòmica,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l’existència d’intencionalitat,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la naturalesa i grau dels perjudicis ocasionats,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la reincidència, per incórrer, en el termini d’un any, en més d’un incompliment de la mateixa naturalesa,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>el nombre d’avisos previs realitzats pel responsable del contracte, i</w:t>
      </w:r>
    </w:p>
    <w:p w:rsidR="00F45784" w:rsidRPr="00E077B2" w:rsidRDefault="00F45784" w:rsidP="00F457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Lato" w:hAnsi="Arial" w:cs="Arial"/>
          <w:color w:val="000000"/>
        </w:rPr>
      </w:pPr>
      <w:r w:rsidRPr="00E077B2">
        <w:rPr>
          <w:rFonts w:ascii="Arial" w:eastAsia="Lato" w:hAnsi="Arial" w:cs="Arial"/>
          <w:color w:val="000000"/>
        </w:rPr>
        <w:t xml:space="preserve">el benefici obtingut </w:t>
      </w:r>
      <w:r w:rsidR="00E077B2" w:rsidRPr="00E077B2">
        <w:rPr>
          <w:rFonts w:ascii="Arial" w:eastAsia="Lato" w:hAnsi="Arial" w:cs="Arial"/>
        </w:rPr>
        <w:t>per l’empresa adjudicatària</w:t>
      </w:r>
      <w:r w:rsidRPr="00E077B2">
        <w:rPr>
          <w:rFonts w:ascii="Arial" w:eastAsia="Lato" w:hAnsi="Arial" w:cs="Arial"/>
          <w:color w:val="000000"/>
        </w:rPr>
        <w:t>.</w:t>
      </w:r>
    </w:p>
    <w:p w:rsidR="009C48D0" w:rsidRPr="00E077B2" w:rsidRDefault="009C48D0" w:rsidP="00D6326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jc w:val="both"/>
        <w:rPr>
          <w:rFonts w:ascii="Arial" w:eastAsia="Lato" w:hAnsi="Arial" w:cs="Arial"/>
          <w:color w:val="000000"/>
        </w:rPr>
      </w:pPr>
    </w:p>
    <w:p w:rsidR="00F45784" w:rsidRPr="00E077B2" w:rsidRDefault="00F45784" w:rsidP="00F45784">
      <w:pPr>
        <w:pStyle w:val="Encabezado3"/>
        <w:rPr>
          <w:rFonts w:ascii="Arial" w:eastAsia="Times New Roman" w:hAnsi="Arial" w:cs="Arial"/>
          <w:lang w:eastAsia="es-ES"/>
        </w:rPr>
      </w:pPr>
      <w:bookmarkStart w:id="2" w:name="_Toc35947942"/>
      <w:r w:rsidRPr="00E077B2">
        <w:rPr>
          <w:rFonts w:ascii="Arial" w:eastAsia="Times New Roman" w:hAnsi="Arial" w:cs="Arial"/>
          <w:lang w:eastAsia="es-ES"/>
        </w:rPr>
        <w:t>Penalitats per manca de subministrament</w:t>
      </w:r>
      <w:bookmarkEnd w:id="2"/>
      <w:r w:rsidRPr="00E077B2">
        <w:rPr>
          <w:rFonts w:ascii="Arial" w:eastAsia="Times New Roman" w:hAnsi="Arial" w:cs="Arial"/>
          <w:lang w:eastAsia="es-ES"/>
        </w:rPr>
        <w:t> </w:t>
      </w:r>
    </w:p>
    <w:p w:rsidR="00F45784" w:rsidRPr="00E077B2" w:rsidRDefault="00D63269" w:rsidP="00D63269">
      <w:pPr>
        <w:spacing w:before="120"/>
        <w:jc w:val="both"/>
        <w:rPr>
          <w:rFonts w:ascii="Arial" w:hAnsi="Arial" w:cs="Arial"/>
          <w:sz w:val="22"/>
          <w:szCs w:val="22"/>
          <w:lang w:eastAsia="es-ES"/>
        </w:rPr>
      </w:pP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 xml:space="preserve">Es penalitza el </w:t>
      </w:r>
      <w:r w:rsidR="00F45784" w:rsidRPr="00E077B2">
        <w:rPr>
          <w:rFonts w:ascii="Arial" w:hAnsi="Arial" w:cs="Arial"/>
          <w:color w:val="000000"/>
          <w:sz w:val="22"/>
          <w:szCs w:val="22"/>
          <w:lang w:eastAsia="es-ES"/>
        </w:rPr>
        <w:t>no servei de</w:t>
      </w: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 xml:space="preserve"> la caldera de biomassa imputables a</w:t>
      </w:r>
      <w:r w:rsidR="00F45784" w:rsidRPr="00E077B2">
        <w:rPr>
          <w:rFonts w:ascii="Arial" w:hAnsi="Arial" w:cs="Arial"/>
          <w:color w:val="000000"/>
          <w:sz w:val="22"/>
          <w:szCs w:val="22"/>
          <w:lang w:eastAsia="es-ES"/>
        </w:rPr>
        <w:t xml:space="preserve"> la manca de subministrament després de 4 dies naturals d’haver estat peticionat </w:t>
      </w:r>
      <w:r w:rsidR="009C48D0" w:rsidRPr="00E077B2">
        <w:rPr>
          <w:rFonts w:ascii="Arial" w:hAnsi="Arial" w:cs="Arial"/>
          <w:color w:val="000000"/>
          <w:sz w:val="22"/>
          <w:szCs w:val="22"/>
          <w:lang w:eastAsia="es-ES"/>
        </w:rPr>
        <w:t xml:space="preserve">el subministrament </w:t>
      </w: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>amb el pagament dels combustibles fòssils consumits en el període de temps que no hi hagut subministrament d’estella.</w:t>
      </w:r>
    </w:p>
    <w:p w:rsidR="00554829" w:rsidRPr="00E077B2" w:rsidRDefault="00554829" w:rsidP="00554829">
      <w:pPr>
        <w:spacing w:before="120"/>
        <w:jc w:val="both"/>
        <w:rPr>
          <w:rFonts w:ascii="Arial" w:eastAsia="Arial" w:hAnsi="Arial" w:cs="Arial"/>
          <w:color w:val="4F81BD" w:themeColor="accent1"/>
        </w:rPr>
      </w:pPr>
      <w:r w:rsidRPr="00E077B2">
        <w:rPr>
          <w:rFonts w:ascii="Arial" w:eastAsia="Arial" w:hAnsi="Arial" w:cs="Arial"/>
          <w:color w:val="4F81BD" w:themeColor="accent1"/>
        </w:rPr>
        <w:t xml:space="preserve">En cas que s’ofereixi com a millora, la telegestió i omplerta de la sitja per part </w:t>
      </w:r>
      <w:r w:rsidR="00E077B2" w:rsidRPr="00E077B2">
        <w:rPr>
          <w:rFonts w:ascii="Arial" w:eastAsia="Arial" w:hAnsi="Arial" w:cs="Arial"/>
          <w:color w:val="4F81BD" w:themeColor="accent1"/>
        </w:rPr>
        <w:t>de l’empresa adjudicatària</w:t>
      </w:r>
      <w:r w:rsidRPr="00E077B2">
        <w:rPr>
          <w:rFonts w:ascii="Arial" w:eastAsia="Arial" w:hAnsi="Arial" w:cs="Arial"/>
          <w:color w:val="4F81BD" w:themeColor="accent1"/>
        </w:rPr>
        <w:t xml:space="preserve">, la responsabilitat d’omplerta de sitja anirà a càrrec </w:t>
      </w:r>
      <w:r w:rsidR="00E077B2" w:rsidRPr="00E077B2">
        <w:rPr>
          <w:rFonts w:ascii="Arial" w:eastAsia="Arial" w:hAnsi="Arial" w:cs="Arial"/>
          <w:color w:val="4F81BD" w:themeColor="accent1"/>
        </w:rPr>
        <w:t xml:space="preserve">de l’empresa adjudicatària </w:t>
      </w:r>
      <w:r w:rsidRPr="00E077B2">
        <w:rPr>
          <w:rFonts w:ascii="Arial" w:eastAsia="Arial" w:hAnsi="Arial" w:cs="Arial"/>
          <w:color w:val="4F81BD" w:themeColor="accent1"/>
        </w:rPr>
        <w:t>i aquesta penalització s’aplicarà des del moment que s’inicia el consum fòssil de back-up.</w:t>
      </w:r>
    </w:p>
    <w:p w:rsidR="00F45784" w:rsidRPr="00E077B2" w:rsidRDefault="00F45784" w:rsidP="00F45784">
      <w:pPr>
        <w:spacing w:before="120"/>
        <w:jc w:val="both"/>
        <w:rPr>
          <w:rFonts w:ascii="Arial" w:hAnsi="Arial" w:cs="Arial"/>
          <w:sz w:val="22"/>
          <w:szCs w:val="22"/>
          <w:lang w:eastAsia="es-ES"/>
        </w:rPr>
      </w:pP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>La forma econòmica d’aquesta penalització serà la següent:</w:t>
      </w:r>
    </w:p>
    <w:p w:rsidR="00F45784" w:rsidRPr="00E077B2" w:rsidRDefault="00F45784" w:rsidP="00F45784">
      <w:pPr>
        <w:spacing w:before="120"/>
        <w:jc w:val="both"/>
        <w:rPr>
          <w:rFonts w:ascii="Arial" w:hAnsi="Arial" w:cs="Arial"/>
          <w:sz w:val="22"/>
          <w:szCs w:val="22"/>
          <w:lang w:eastAsia="es-ES"/>
        </w:rPr>
      </w:pP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>Per cada X dies que no hagi funcionat la caldera de biomassa i s’hagin engegat les calderes de gasoil/gas</w:t>
      </w:r>
      <w:r w:rsidR="00D63269" w:rsidRPr="00E077B2">
        <w:rPr>
          <w:rFonts w:ascii="Arial" w:hAnsi="Arial" w:cs="Arial"/>
          <w:color w:val="000000"/>
          <w:sz w:val="22"/>
          <w:szCs w:val="22"/>
          <w:lang w:eastAsia="es-ES"/>
        </w:rPr>
        <w:t>/bomba de calor</w:t>
      </w: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 xml:space="preserve"> per a cobrir aquesta deficiència es farà la següent aproximació de preu tèrmic a deduir per no haver pogut aprovisionar el servei de calefacció/ACS amb biomassa:</w:t>
      </w:r>
    </w:p>
    <w:p w:rsidR="00F45784" w:rsidRPr="00E077B2" w:rsidRDefault="00F45784" w:rsidP="00F45784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77B2">
        <w:rPr>
          <w:rFonts w:ascii="Arial" w:eastAsia="Times New Roman" w:hAnsi="Arial" w:cs="Arial"/>
          <w:color w:val="000000"/>
          <w:lang w:eastAsia="es-ES"/>
        </w:rPr>
        <w:t>Pel gasoil:</w:t>
      </w:r>
      <w:r w:rsidRPr="00E077B2">
        <w:rPr>
          <w:rFonts w:ascii="Arial" w:eastAsia="Times New Roman" w:hAnsi="Arial" w:cs="Arial"/>
          <w:lang w:eastAsia="es-ES"/>
        </w:rPr>
        <w:t xml:space="preserve"> P</w:t>
      </w:r>
      <w:r w:rsidRPr="00E077B2">
        <w:rPr>
          <w:rFonts w:ascii="Arial" w:eastAsia="Times New Roman" w:hAnsi="Arial" w:cs="Arial"/>
          <w:color w:val="000000"/>
          <w:lang w:eastAsia="es-ES"/>
        </w:rPr>
        <w:t>otència de la caldera de gasoil existent (kW)* X hores de no funcionament de la caldera de biomassa i engegada de la de gasoil / PCI gasoil (10 kWh/Litres) *€/L de gasoil facturat en el mateix període de la incidència</w:t>
      </w:r>
    </w:p>
    <w:p w:rsidR="00F45784" w:rsidRPr="00E077B2" w:rsidRDefault="00F45784" w:rsidP="00F45784">
      <w:pPr>
        <w:pStyle w:val="Prrafodelista"/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E077B2">
        <w:rPr>
          <w:rFonts w:ascii="Arial" w:eastAsia="Times New Roman" w:hAnsi="Arial" w:cs="Arial"/>
          <w:color w:val="000000"/>
          <w:lang w:eastAsia="es-ES"/>
        </w:rPr>
        <w:t>Pel gas: Potència de la caldera de gas existent (kW)* X hores de no funcionament de la caldera de biomassa i engegada de la caldera de gas*€/kWh de gas facturat en el mateix període de la incidència</w:t>
      </w:r>
    </w:p>
    <w:p w:rsidR="00F45784" w:rsidRPr="00E077B2" w:rsidRDefault="00F45784" w:rsidP="00F45784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077B2">
        <w:rPr>
          <w:rFonts w:ascii="Arial" w:eastAsia="Times New Roman" w:hAnsi="Arial" w:cs="Arial"/>
          <w:color w:val="000000"/>
          <w:lang w:eastAsia="es-ES"/>
        </w:rPr>
        <w:t>Per l’electricitat de la bomba de calor: Potència nominal en calefacció de la bomba de calor existent (kW)* X hores de no funcionament de la caldera de biomassa i engegada de la bomba de calor / COP de l’equip (2,75) *€/kWh electricitat facturada en el mateix període de la incidència</w:t>
      </w:r>
    </w:p>
    <w:p w:rsidR="00F45784" w:rsidRPr="00E077B2" w:rsidRDefault="00F45784" w:rsidP="00F45784">
      <w:pPr>
        <w:spacing w:before="120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E077B2">
        <w:rPr>
          <w:rFonts w:ascii="Arial" w:hAnsi="Arial" w:cs="Arial"/>
          <w:color w:val="000000"/>
          <w:sz w:val="22"/>
          <w:szCs w:val="22"/>
          <w:lang w:eastAsia="es-ES"/>
        </w:rPr>
        <w:t xml:space="preserve">Aquesta estimació es realitza a manca de comptador de gasoil o de  gas específic en les calderes existents i electricitat a la bomba de calor. L’adjudicatari controlarà el consum de gasoil, gas així com el seu ús òptim a les instal·lacions preses al seu càrrec. </w:t>
      </w:r>
    </w:p>
    <w:p w:rsidR="000B5CD0" w:rsidRPr="00E077B2" w:rsidRDefault="000B5CD0" w:rsidP="000B5CD0">
      <w:pPr>
        <w:pStyle w:val="Sinespaciado"/>
        <w:jc w:val="both"/>
        <w:rPr>
          <w:rFonts w:ascii="Arial" w:eastAsia="Calibri" w:hAnsi="Arial" w:cs="Arial"/>
          <w:b/>
          <w:bCs/>
          <w:color w:val="000000"/>
          <w:lang w:eastAsia="ca-ES"/>
        </w:rPr>
      </w:pPr>
      <w:bookmarkStart w:id="3" w:name="_GoBack"/>
      <w:bookmarkEnd w:id="3"/>
    </w:p>
    <w:sectPr w:rsidR="000B5CD0" w:rsidRPr="00E077B2" w:rsidSect="00774877">
      <w:headerReference w:type="default" r:id="rId8"/>
      <w:footerReference w:type="default" r:id="rId9"/>
      <w:pgSz w:w="11906" w:h="16838"/>
      <w:pgMar w:top="241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A7" w:rsidRDefault="000955A7">
      <w:r>
        <w:separator/>
      </w:r>
    </w:p>
  </w:endnote>
  <w:endnote w:type="continuationSeparator" w:id="0">
    <w:p w:rsidR="000955A7" w:rsidRDefault="0009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2975"/>
      <w:docPartObj>
        <w:docPartGallery w:val="Page Numbers (Bottom of Page)"/>
        <w:docPartUnique/>
      </w:docPartObj>
    </w:sdtPr>
    <w:sdtContent>
      <w:p w:rsidR="009C48D0" w:rsidRDefault="009643AB">
        <w:pPr>
          <w:pStyle w:val="Piedepgina"/>
          <w:jc w:val="right"/>
        </w:pPr>
        <w:r>
          <w:fldChar w:fldCharType="begin"/>
        </w:r>
        <w:r w:rsidR="009C48D0">
          <w:instrText xml:space="preserve"> PAGE   \* MERGEFORMAT </w:instrText>
        </w:r>
        <w:r>
          <w:fldChar w:fldCharType="separate"/>
        </w:r>
        <w:r w:rsidR="00FB0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8D0" w:rsidRDefault="009C48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A7" w:rsidRDefault="000955A7">
      <w:r>
        <w:separator/>
      </w:r>
    </w:p>
  </w:footnote>
  <w:footnote w:type="continuationSeparator" w:id="0">
    <w:p w:rsidR="000955A7" w:rsidRDefault="0009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D0" w:rsidRDefault="009C48D0">
    <w:pPr>
      <w:pStyle w:val="Encabezado"/>
      <w:tabs>
        <w:tab w:val="left" w:pos="1418"/>
      </w:tabs>
      <w:rPr>
        <w:lang w:eastAsia="ca-ES"/>
      </w:rPr>
    </w:pPr>
  </w:p>
  <w:p w:rsidR="009C48D0" w:rsidRDefault="009C48D0">
    <w:pPr>
      <w:rPr>
        <w:rFonts w:ascii="Calibri" w:hAnsi="Calibri" w:cs="Calibri"/>
      </w:rPr>
    </w:pPr>
  </w:p>
  <w:p w:rsidR="009C48D0" w:rsidRDefault="009C48D0">
    <w:pPr>
      <w:rPr>
        <w:rFonts w:ascii="Calibri" w:hAnsi="Calibri" w:cs="Calibri"/>
      </w:rPr>
    </w:pPr>
  </w:p>
  <w:p w:rsidR="009C48D0" w:rsidRDefault="009C48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6A35DDE"/>
    <w:multiLevelType w:val="hybridMultilevel"/>
    <w:tmpl w:val="A3CA25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66BC"/>
    <w:multiLevelType w:val="multilevel"/>
    <w:tmpl w:val="58A668FC"/>
    <w:lvl w:ilvl="0">
      <w:start w:val="1"/>
      <w:numFmt w:val="decimal"/>
      <w:pStyle w:val="Encabezado1"/>
      <w:lvlText w:val="%1."/>
      <w:lvlJc w:val="left"/>
      <w:pPr>
        <w:ind w:left="360" w:hanging="360"/>
      </w:pPr>
    </w:lvl>
    <w:lvl w:ilvl="1">
      <w:start w:val="1"/>
      <w:numFmt w:val="decimal"/>
      <w:pStyle w:val="Encabezado2"/>
      <w:lvlText w:val="%1.%2."/>
      <w:lvlJc w:val="left"/>
      <w:pPr>
        <w:ind w:left="360" w:hanging="360"/>
      </w:pPr>
    </w:lvl>
    <w:lvl w:ilvl="2">
      <w:start w:val="1"/>
      <w:numFmt w:val="decimal"/>
      <w:pStyle w:val="Encabezado3"/>
      <w:lvlText w:val="%1.%2.%3."/>
      <w:lvlJc w:val="left"/>
      <w:pPr>
        <w:ind w:left="720" w:hanging="720"/>
      </w:pPr>
    </w:lvl>
    <w:lvl w:ilvl="3">
      <w:start w:val="1"/>
      <w:numFmt w:val="decimal"/>
      <w:pStyle w:val="Encabezado4"/>
      <w:lvlText w:val="%1.%2.%3.%4."/>
      <w:lvlJc w:val="left"/>
      <w:pPr>
        <w:ind w:left="720" w:hanging="720"/>
      </w:pPr>
    </w:lvl>
    <w:lvl w:ilvl="4">
      <w:start w:val="1"/>
      <w:numFmt w:val="decimal"/>
      <w:pStyle w:val="Encabezado5"/>
      <w:lvlText w:val="%1.%2.%3.%4.%5."/>
      <w:lvlJc w:val="left"/>
      <w:pPr>
        <w:ind w:left="1080" w:hanging="1080"/>
      </w:pPr>
    </w:lvl>
    <w:lvl w:ilvl="5">
      <w:start w:val="1"/>
      <w:numFmt w:val="decimal"/>
      <w:pStyle w:val="Encabezado6"/>
      <w:lvlText w:val="%1.%2.%3.%4.%5.%6."/>
      <w:lvlJc w:val="left"/>
      <w:pPr>
        <w:ind w:left="1080" w:hanging="1080"/>
      </w:pPr>
    </w:lvl>
    <w:lvl w:ilvl="6">
      <w:start w:val="1"/>
      <w:numFmt w:val="decimal"/>
      <w:pStyle w:val="Encabezad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Encabezad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Encabezado9"/>
      <w:lvlText w:val="%1.%2.%3.%4.%5.%6.%7.%8.%9."/>
      <w:lvlJc w:val="left"/>
      <w:pPr>
        <w:ind w:left="1800" w:hanging="1800"/>
      </w:pPr>
    </w:lvl>
  </w:abstractNum>
  <w:abstractNum w:abstractNumId="3">
    <w:nsid w:val="56F95554"/>
    <w:multiLevelType w:val="hybridMultilevel"/>
    <w:tmpl w:val="8DAA1C5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DCC751E"/>
    <w:multiLevelType w:val="hybridMultilevel"/>
    <w:tmpl w:val="7DDC04B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F717F5A"/>
    <w:multiLevelType w:val="hybridMultilevel"/>
    <w:tmpl w:val="D3D2B2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C092A"/>
    <w:multiLevelType w:val="hybridMultilevel"/>
    <w:tmpl w:val="7C1CA8A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1191AE9"/>
    <w:multiLevelType w:val="hybridMultilevel"/>
    <w:tmpl w:val="30F0DC3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F4362"/>
    <w:rsid w:val="00000DE9"/>
    <w:rsid w:val="00001185"/>
    <w:rsid w:val="00010AE3"/>
    <w:rsid w:val="00011F29"/>
    <w:rsid w:val="000120EA"/>
    <w:rsid w:val="00016D15"/>
    <w:rsid w:val="00017DE3"/>
    <w:rsid w:val="00023F0D"/>
    <w:rsid w:val="00031952"/>
    <w:rsid w:val="0003223C"/>
    <w:rsid w:val="00033CDE"/>
    <w:rsid w:val="00034D50"/>
    <w:rsid w:val="00046BC4"/>
    <w:rsid w:val="00050E77"/>
    <w:rsid w:val="000548D4"/>
    <w:rsid w:val="00061F69"/>
    <w:rsid w:val="00070F72"/>
    <w:rsid w:val="00075894"/>
    <w:rsid w:val="00090409"/>
    <w:rsid w:val="000955A7"/>
    <w:rsid w:val="000955A8"/>
    <w:rsid w:val="00097882"/>
    <w:rsid w:val="00097DDE"/>
    <w:rsid w:val="000A3BBE"/>
    <w:rsid w:val="000A73E1"/>
    <w:rsid w:val="000B5CD0"/>
    <w:rsid w:val="000C5719"/>
    <w:rsid w:val="000C77D0"/>
    <w:rsid w:val="000D6576"/>
    <w:rsid w:val="000E2E3C"/>
    <w:rsid w:val="000E5BD1"/>
    <w:rsid w:val="000F117A"/>
    <w:rsid w:val="000F2521"/>
    <w:rsid w:val="000F3D29"/>
    <w:rsid w:val="000F4668"/>
    <w:rsid w:val="000F6998"/>
    <w:rsid w:val="00111AAD"/>
    <w:rsid w:val="001158DA"/>
    <w:rsid w:val="00116249"/>
    <w:rsid w:val="0012013D"/>
    <w:rsid w:val="0012201A"/>
    <w:rsid w:val="00135627"/>
    <w:rsid w:val="0014053E"/>
    <w:rsid w:val="00147CC9"/>
    <w:rsid w:val="0015355E"/>
    <w:rsid w:val="00154196"/>
    <w:rsid w:val="0015743B"/>
    <w:rsid w:val="00161E4E"/>
    <w:rsid w:val="00165998"/>
    <w:rsid w:val="00166036"/>
    <w:rsid w:val="001706DB"/>
    <w:rsid w:val="00170A91"/>
    <w:rsid w:val="0017368D"/>
    <w:rsid w:val="00176FB6"/>
    <w:rsid w:val="00193B29"/>
    <w:rsid w:val="00195336"/>
    <w:rsid w:val="00195A2C"/>
    <w:rsid w:val="001960EF"/>
    <w:rsid w:val="001A62EC"/>
    <w:rsid w:val="001B00CD"/>
    <w:rsid w:val="001B0BAE"/>
    <w:rsid w:val="001B78E5"/>
    <w:rsid w:val="001C07A7"/>
    <w:rsid w:val="001C1256"/>
    <w:rsid w:val="001C3979"/>
    <w:rsid w:val="001D6541"/>
    <w:rsid w:val="001E2449"/>
    <w:rsid w:val="001E44CA"/>
    <w:rsid w:val="001E5123"/>
    <w:rsid w:val="00201395"/>
    <w:rsid w:val="002019F7"/>
    <w:rsid w:val="002037F1"/>
    <w:rsid w:val="002059F8"/>
    <w:rsid w:val="00207DA4"/>
    <w:rsid w:val="00212846"/>
    <w:rsid w:val="00215E28"/>
    <w:rsid w:val="002160CE"/>
    <w:rsid w:val="0022120F"/>
    <w:rsid w:val="002234C7"/>
    <w:rsid w:val="00226817"/>
    <w:rsid w:val="00231E17"/>
    <w:rsid w:val="002339BC"/>
    <w:rsid w:val="002375AA"/>
    <w:rsid w:val="00246F03"/>
    <w:rsid w:val="00251D13"/>
    <w:rsid w:val="00251DEF"/>
    <w:rsid w:val="00254E76"/>
    <w:rsid w:val="00256E18"/>
    <w:rsid w:val="0026301C"/>
    <w:rsid w:val="002632A9"/>
    <w:rsid w:val="00264E70"/>
    <w:rsid w:val="00270D76"/>
    <w:rsid w:val="00272999"/>
    <w:rsid w:val="002731A4"/>
    <w:rsid w:val="00276403"/>
    <w:rsid w:val="00283390"/>
    <w:rsid w:val="002862C7"/>
    <w:rsid w:val="002920F8"/>
    <w:rsid w:val="002973A3"/>
    <w:rsid w:val="002A35DA"/>
    <w:rsid w:val="002C738E"/>
    <w:rsid w:val="002D5055"/>
    <w:rsid w:val="002D74DA"/>
    <w:rsid w:val="002E06AE"/>
    <w:rsid w:val="002E1785"/>
    <w:rsid w:val="002F0391"/>
    <w:rsid w:val="002F4362"/>
    <w:rsid w:val="0030797A"/>
    <w:rsid w:val="003148A1"/>
    <w:rsid w:val="003352F6"/>
    <w:rsid w:val="00344EA5"/>
    <w:rsid w:val="00357EFA"/>
    <w:rsid w:val="00363339"/>
    <w:rsid w:val="00373476"/>
    <w:rsid w:val="0037543D"/>
    <w:rsid w:val="00380342"/>
    <w:rsid w:val="00380FBB"/>
    <w:rsid w:val="0039324D"/>
    <w:rsid w:val="003A2D49"/>
    <w:rsid w:val="003B11A5"/>
    <w:rsid w:val="003C49D8"/>
    <w:rsid w:val="003C7A7F"/>
    <w:rsid w:val="003D240E"/>
    <w:rsid w:val="003D2A12"/>
    <w:rsid w:val="003D3BC9"/>
    <w:rsid w:val="003E3429"/>
    <w:rsid w:val="003E485C"/>
    <w:rsid w:val="003E6ABC"/>
    <w:rsid w:val="003E7908"/>
    <w:rsid w:val="003F047E"/>
    <w:rsid w:val="003F104A"/>
    <w:rsid w:val="004051D1"/>
    <w:rsid w:val="004111C2"/>
    <w:rsid w:val="00415FEA"/>
    <w:rsid w:val="00416D69"/>
    <w:rsid w:val="004222F2"/>
    <w:rsid w:val="004307A9"/>
    <w:rsid w:val="004344EC"/>
    <w:rsid w:val="004349F2"/>
    <w:rsid w:val="00441479"/>
    <w:rsid w:val="0044395B"/>
    <w:rsid w:val="004441C2"/>
    <w:rsid w:val="004539B4"/>
    <w:rsid w:val="004563E6"/>
    <w:rsid w:val="0045790F"/>
    <w:rsid w:val="00472E20"/>
    <w:rsid w:val="004824C9"/>
    <w:rsid w:val="004841D7"/>
    <w:rsid w:val="00485DC6"/>
    <w:rsid w:val="00487288"/>
    <w:rsid w:val="00494469"/>
    <w:rsid w:val="00494E3A"/>
    <w:rsid w:val="00495A5E"/>
    <w:rsid w:val="00496BF3"/>
    <w:rsid w:val="004A210E"/>
    <w:rsid w:val="004B4CC7"/>
    <w:rsid w:val="004B5FF3"/>
    <w:rsid w:val="004D367E"/>
    <w:rsid w:val="004D44D3"/>
    <w:rsid w:val="004D5E17"/>
    <w:rsid w:val="004D6A96"/>
    <w:rsid w:val="004E0162"/>
    <w:rsid w:val="004E17F6"/>
    <w:rsid w:val="004E199C"/>
    <w:rsid w:val="004E31AB"/>
    <w:rsid w:val="004F5B91"/>
    <w:rsid w:val="00500EF8"/>
    <w:rsid w:val="005033BD"/>
    <w:rsid w:val="005065C8"/>
    <w:rsid w:val="0051093A"/>
    <w:rsid w:val="005124ED"/>
    <w:rsid w:val="0051333F"/>
    <w:rsid w:val="0052147F"/>
    <w:rsid w:val="00521CB3"/>
    <w:rsid w:val="00521D81"/>
    <w:rsid w:val="00522C7C"/>
    <w:rsid w:val="00527BD2"/>
    <w:rsid w:val="00535564"/>
    <w:rsid w:val="00535D0E"/>
    <w:rsid w:val="00541E6F"/>
    <w:rsid w:val="00544C1A"/>
    <w:rsid w:val="0054650B"/>
    <w:rsid w:val="00554829"/>
    <w:rsid w:val="005604D7"/>
    <w:rsid w:val="005605CB"/>
    <w:rsid w:val="00564A90"/>
    <w:rsid w:val="005671A5"/>
    <w:rsid w:val="005677EF"/>
    <w:rsid w:val="00570DF6"/>
    <w:rsid w:val="00581328"/>
    <w:rsid w:val="00583A7D"/>
    <w:rsid w:val="005857F6"/>
    <w:rsid w:val="005906B8"/>
    <w:rsid w:val="0059506E"/>
    <w:rsid w:val="00595F1B"/>
    <w:rsid w:val="00597F0F"/>
    <w:rsid w:val="005A31F3"/>
    <w:rsid w:val="005A59E8"/>
    <w:rsid w:val="005A6C12"/>
    <w:rsid w:val="005D2535"/>
    <w:rsid w:val="005D32DB"/>
    <w:rsid w:val="0060007C"/>
    <w:rsid w:val="00600B82"/>
    <w:rsid w:val="00604D20"/>
    <w:rsid w:val="00607B89"/>
    <w:rsid w:val="00612B84"/>
    <w:rsid w:val="00613178"/>
    <w:rsid w:val="00616C52"/>
    <w:rsid w:val="00617F4F"/>
    <w:rsid w:val="00620F9C"/>
    <w:rsid w:val="006363ED"/>
    <w:rsid w:val="0063666D"/>
    <w:rsid w:val="00636C3F"/>
    <w:rsid w:val="00642D0C"/>
    <w:rsid w:val="00645D4F"/>
    <w:rsid w:val="0065075F"/>
    <w:rsid w:val="00656A87"/>
    <w:rsid w:val="006578D9"/>
    <w:rsid w:val="00660938"/>
    <w:rsid w:val="00671AED"/>
    <w:rsid w:val="00686E3B"/>
    <w:rsid w:val="00686F2F"/>
    <w:rsid w:val="00690734"/>
    <w:rsid w:val="006938BC"/>
    <w:rsid w:val="00693B77"/>
    <w:rsid w:val="006A17E4"/>
    <w:rsid w:val="006B2F58"/>
    <w:rsid w:val="006B3CB4"/>
    <w:rsid w:val="006C2791"/>
    <w:rsid w:val="006C4ED0"/>
    <w:rsid w:val="006D450B"/>
    <w:rsid w:val="006E326B"/>
    <w:rsid w:val="006F0E35"/>
    <w:rsid w:val="006F20B4"/>
    <w:rsid w:val="006F7724"/>
    <w:rsid w:val="00703C30"/>
    <w:rsid w:val="00706003"/>
    <w:rsid w:val="007232A9"/>
    <w:rsid w:val="00724CC7"/>
    <w:rsid w:val="00734A28"/>
    <w:rsid w:val="00736687"/>
    <w:rsid w:val="0074381F"/>
    <w:rsid w:val="00744974"/>
    <w:rsid w:val="00750E8B"/>
    <w:rsid w:val="0075491A"/>
    <w:rsid w:val="00755B9A"/>
    <w:rsid w:val="007724F7"/>
    <w:rsid w:val="00772EC2"/>
    <w:rsid w:val="00774877"/>
    <w:rsid w:val="00777677"/>
    <w:rsid w:val="007864ED"/>
    <w:rsid w:val="007941BA"/>
    <w:rsid w:val="00795D9E"/>
    <w:rsid w:val="00796544"/>
    <w:rsid w:val="007A0F72"/>
    <w:rsid w:val="007A53B1"/>
    <w:rsid w:val="007A629C"/>
    <w:rsid w:val="007B323A"/>
    <w:rsid w:val="007B34BD"/>
    <w:rsid w:val="007B3BA4"/>
    <w:rsid w:val="007B49D2"/>
    <w:rsid w:val="007C5A3E"/>
    <w:rsid w:val="007D6DF8"/>
    <w:rsid w:val="007E0FB0"/>
    <w:rsid w:val="00801376"/>
    <w:rsid w:val="00810AD1"/>
    <w:rsid w:val="0081464D"/>
    <w:rsid w:val="00816990"/>
    <w:rsid w:val="0082101C"/>
    <w:rsid w:val="008307F5"/>
    <w:rsid w:val="0084066B"/>
    <w:rsid w:val="0087180E"/>
    <w:rsid w:val="008733C4"/>
    <w:rsid w:val="0087546C"/>
    <w:rsid w:val="00880106"/>
    <w:rsid w:val="008815AE"/>
    <w:rsid w:val="00881EB2"/>
    <w:rsid w:val="00884843"/>
    <w:rsid w:val="00890D0E"/>
    <w:rsid w:val="00891327"/>
    <w:rsid w:val="008A171C"/>
    <w:rsid w:val="008A44BC"/>
    <w:rsid w:val="008A69AD"/>
    <w:rsid w:val="008A7A5D"/>
    <w:rsid w:val="008B1B5C"/>
    <w:rsid w:val="008B5B6C"/>
    <w:rsid w:val="008B7064"/>
    <w:rsid w:val="008C1B52"/>
    <w:rsid w:val="008D0F52"/>
    <w:rsid w:val="008D5189"/>
    <w:rsid w:val="008E3A7A"/>
    <w:rsid w:val="008E53C6"/>
    <w:rsid w:val="008E561F"/>
    <w:rsid w:val="008E5E16"/>
    <w:rsid w:val="008F2315"/>
    <w:rsid w:val="008F3849"/>
    <w:rsid w:val="008F72D3"/>
    <w:rsid w:val="009063AF"/>
    <w:rsid w:val="00906487"/>
    <w:rsid w:val="00910016"/>
    <w:rsid w:val="00911AF1"/>
    <w:rsid w:val="00911C5F"/>
    <w:rsid w:val="0091382B"/>
    <w:rsid w:val="00915C75"/>
    <w:rsid w:val="009203F5"/>
    <w:rsid w:val="0093704B"/>
    <w:rsid w:val="00941416"/>
    <w:rsid w:val="0094389E"/>
    <w:rsid w:val="00957D12"/>
    <w:rsid w:val="00961F02"/>
    <w:rsid w:val="00962960"/>
    <w:rsid w:val="009643AB"/>
    <w:rsid w:val="00965240"/>
    <w:rsid w:val="00971B05"/>
    <w:rsid w:val="00972026"/>
    <w:rsid w:val="009906D2"/>
    <w:rsid w:val="009918A0"/>
    <w:rsid w:val="0099407A"/>
    <w:rsid w:val="009B61A3"/>
    <w:rsid w:val="009C057D"/>
    <w:rsid w:val="009C48D0"/>
    <w:rsid w:val="009C5413"/>
    <w:rsid w:val="009D1B47"/>
    <w:rsid w:val="009E559B"/>
    <w:rsid w:val="009E5C21"/>
    <w:rsid w:val="009F4E4B"/>
    <w:rsid w:val="009F720D"/>
    <w:rsid w:val="00A0000C"/>
    <w:rsid w:val="00A2068F"/>
    <w:rsid w:val="00A26BBA"/>
    <w:rsid w:val="00A318B5"/>
    <w:rsid w:val="00A3300F"/>
    <w:rsid w:val="00A33ECB"/>
    <w:rsid w:val="00A3731A"/>
    <w:rsid w:val="00A3771A"/>
    <w:rsid w:val="00A50CEC"/>
    <w:rsid w:val="00A640E7"/>
    <w:rsid w:val="00A65E80"/>
    <w:rsid w:val="00A70229"/>
    <w:rsid w:val="00A8156A"/>
    <w:rsid w:val="00A825A3"/>
    <w:rsid w:val="00A917AF"/>
    <w:rsid w:val="00A91F1B"/>
    <w:rsid w:val="00A9507A"/>
    <w:rsid w:val="00AA15E8"/>
    <w:rsid w:val="00AA24A8"/>
    <w:rsid w:val="00AA2909"/>
    <w:rsid w:val="00AA742C"/>
    <w:rsid w:val="00AB440F"/>
    <w:rsid w:val="00AB550F"/>
    <w:rsid w:val="00AB5C1A"/>
    <w:rsid w:val="00AB7094"/>
    <w:rsid w:val="00AC2E3E"/>
    <w:rsid w:val="00AD5AFF"/>
    <w:rsid w:val="00AE1FE7"/>
    <w:rsid w:val="00AE29F5"/>
    <w:rsid w:val="00AF2DB5"/>
    <w:rsid w:val="00AF3DBC"/>
    <w:rsid w:val="00AF7135"/>
    <w:rsid w:val="00B069E7"/>
    <w:rsid w:val="00B1372F"/>
    <w:rsid w:val="00B17917"/>
    <w:rsid w:val="00B23435"/>
    <w:rsid w:val="00B2397A"/>
    <w:rsid w:val="00B24BF1"/>
    <w:rsid w:val="00B25BE3"/>
    <w:rsid w:val="00B30961"/>
    <w:rsid w:val="00B40C0E"/>
    <w:rsid w:val="00B44CB1"/>
    <w:rsid w:val="00B44E15"/>
    <w:rsid w:val="00B530AA"/>
    <w:rsid w:val="00B71465"/>
    <w:rsid w:val="00B71CEB"/>
    <w:rsid w:val="00B72C47"/>
    <w:rsid w:val="00B813B1"/>
    <w:rsid w:val="00B81FE1"/>
    <w:rsid w:val="00B872C5"/>
    <w:rsid w:val="00B9369A"/>
    <w:rsid w:val="00B945CD"/>
    <w:rsid w:val="00BA11BA"/>
    <w:rsid w:val="00BA1A64"/>
    <w:rsid w:val="00BB0147"/>
    <w:rsid w:val="00BB2C97"/>
    <w:rsid w:val="00BB590B"/>
    <w:rsid w:val="00BC4205"/>
    <w:rsid w:val="00BC4C01"/>
    <w:rsid w:val="00BC6D29"/>
    <w:rsid w:val="00BD472E"/>
    <w:rsid w:val="00BE0AFB"/>
    <w:rsid w:val="00BE15A1"/>
    <w:rsid w:val="00BE206A"/>
    <w:rsid w:val="00BF36ED"/>
    <w:rsid w:val="00C02AFD"/>
    <w:rsid w:val="00C05B41"/>
    <w:rsid w:val="00C13973"/>
    <w:rsid w:val="00C1673F"/>
    <w:rsid w:val="00C27808"/>
    <w:rsid w:val="00C304EA"/>
    <w:rsid w:val="00C34FC8"/>
    <w:rsid w:val="00C426D5"/>
    <w:rsid w:val="00C503F6"/>
    <w:rsid w:val="00C578DA"/>
    <w:rsid w:val="00C61262"/>
    <w:rsid w:val="00C65A12"/>
    <w:rsid w:val="00C66101"/>
    <w:rsid w:val="00C70BAB"/>
    <w:rsid w:val="00C7145A"/>
    <w:rsid w:val="00C759CC"/>
    <w:rsid w:val="00C827C9"/>
    <w:rsid w:val="00C90DBF"/>
    <w:rsid w:val="00C92909"/>
    <w:rsid w:val="00C94928"/>
    <w:rsid w:val="00C94DFB"/>
    <w:rsid w:val="00C97D26"/>
    <w:rsid w:val="00CA1AE1"/>
    <w:rsid w:val="00CA32AD"/>
    <w:rsid w:val="00CA6257"/>
    <w:rsid w:val="00CB2FB0"/>
    <w:rsid w:val="00CB39DE"/>
    <w:rsid w:val="00CB7C58"/>
    <w:rsid w:val="00CD6DC1"/>
    <w:rsid w:val="00CD7666"/>
    <w:rsid w:val="00CE1D5C"/>
    <w:rsid w:val="00CE4019"/>
    <w:rsid w:val="00CE42A1"/>
    <w:rsid w:val="00CE4645"/>
    <w:rsid w:val="00CF15B5"/>
    <w:rsid w:val="00D039BB"/>
    <w:rsid w:val="00D114CA"/>
    <w:rsid w:val="00D13DE0"/>
    <w:rsid w:val="00D17214"/>
    <w:rsid w:val="00D21350"/>
    <w:rsid w:val="00D21979"/>
    <w:rsid w:val="00D25A19"/>
    <w:rsid w:val="00D30E08"/>
    <w:rsid w:val="00D31297"/>
    <w:rsid w:val="00D40B1A"/>
    <w:rsid w:val="00D45813"/>
    <w:rsid w:val="00D518B6"/>
    <w:rsid w:val="00D52C66"/>
    <w:rsid w:val="00D60476"/>
    <w:rsid w:val="00D614DF"/>
    <w:rsid w:val="00D63269"/>
    <w:rsid w:val="00D6628F"/>
    <w:rsid w:val="00D6758A"/>
    <w:rsid w:val="00D75CAE"/>
    <w:rsid w:val="00D75FEC"/>
    <w:rsid w:val="00D8098C"/>
    <w:rsid w:val="00D82FF2"/>
    <w:rsid w:val="00D8654F"/>
    <w:rsid w:val="00DA0221"/>
    <w:rsid w:val="00DA3410"/>
    <w:rsid w:val="00DB09A7"/>
    <w:rsid w:val="00DB3336"/>
    <w:rsid w:val="00DB4CEF"/>
    <w:rsid w:val="00DB62D0"/>
    <w:rsid w:val="00DC1A9C"/>
    <w:rsid w:val="00DC42CE"/>
    <w:rsid w:val="00DC5632"/>
    <w:rsid w:val="00DC7EE9"/>
    <w:rsid w:val="00DD2CFA"/>
    <w:rsid w:val="00DE0F6A"/>
    <w:rsid w:val="00DE19DD"/>
    <w:rsid w:val="00DE4AA3"/>
    <w:rsid w:val="00DE4FD8"/>
    <w:rsid w:val="00DF261A"/>
    <w:rsid w:val="00E03322"/>
    <w:rsid w:val="00E077B2"/>
    <w:rsid w:val="00E10631"/>
    <w:rsid w:val="00E10651"/>
    <w:rsid w:val="00E11A52"/>
    <w:rsid w:val="00E12DBD"/>
    <w:rsid w:val="00E177D6"/>
    <w:rsid w:val="00E248B1"/>
    <w:rsid w:val="00E3052A"/>
    <w:rsid w:val="00E46696"/>
    <w:rsid w:val="00E52938"/>
    <w:rsid w:val="00E5294D"/>
    <w:rsid w:val="00E54AD7"/>
    <w:rsid w:val="00E808A3"/>
    <w:rsid w:val="00E8593C"/>
    <w:rsid w:val="00E8683A"/>
    <w:rsid w:val="00E9027B"/>
    <w:rsid w:val="00E91B07"/>
    <w:rsid w:val="00E928BB"/>
    <w:rsid w:val="00E92A42"/>
    <w:rsid w:val="00E93457"/>
    <w:rsid w:val="00E944DA"/>
    <w:rsid w:val="00E95327"/>
    <w:rsid w:val="00EA1D68"/>
    <w:rsid w:val="00EA345C"/>
    <w:rsid w:val="00EB0229"/>
    <w:rsid w:val="00EB0C8D"/>
    <w:rsid w:val="00EB2451"/>
    <w:rsid w:val="00EB3F47"/>
    <w:rsid w:val="00EB3FAF"/>
    <w:rsid w:val="00EB7B80"/>
    <w:rsid w:val="00EC3DB9"/>
    <w:rsid w:val="00EC5F69"/>
    <w:rsid w:val="00EC6318"/>
    <w:rsid w:val="00ED0CC2"/>
    <w:rsid w:val="00ED16D2"/>
    <w:rsid w:val="00EE18B5"/>
    <w:rsid w:val="00EE2D68"/>
    <w:rsid w:val="00EF4EAE"/>
    <w:rsid w:val="00EF7901"/>
    <w:rsid w:val="00EF7AC9"/>
    <w:rsid w:val="00F011AC"/>
    <w:rsid w:val="00F03D7F"/>
    <w:rsid w:val="00F061B9"/>
    <w:rsid w:val="00F10464"/>
    <w:rsid w:val="00F11486"/>
    <w:rsid w:val="00F11969"/>
    <w:rsid w:val="00F12B94"/>
    <w:rsid w:val="00F1330E"/>
    <w:rsid w:val="00F16A41"/>
    <w:rsid w:val="00F2303C"/>
    <w:rsid w:val="00F3153F"/>
    <w:rsid w:val="00F40E52"/>
    <w:rsid w:val="00F45784"/>
    <w:rsid w:val="00F546E2"/>
    <w:rsid w:val="00F5484B"/>
    <w:rsid w:val="00F54D77"/>
    <w:rsid w:val="00F62657"/>
    <w:rsid w:val="00F71B06"/>
    <w:rsid w:val="00F72564"/>
    <w:rsid w:val="00F80992"/>
    <w:rsid w:val="00F82F9C"/>
    <w:rsid w:val="00F846A2"/>
    <w:rsid w:val="00F8609C"/>
    <w:rsid w:val="00F92BE7"/>
    <w:rsid w:val="00F95BBA"/>
    <w:rsid w:val="00F95C6D"/>
    <w:rsid w:val="00FA6DFD"/>
    <w:rsid w:val="00FB019D"/>
    <w:rsid w:val="00FB377C"/>
    <w:rsid w:val="00FB434E"/>
    <w:rsid w:val="00FB6148"/>
    <w:rsid w:val="00FC570A"/>
    <w:rsid w:val="00FC78DE"/>
    <w:rsid w:val="00FC7FB5"/>
    <w:rsid w:val="00FD1AD1"/>
    <w:rsid w:val="00FD2070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aliases w:val="J3"/>
    <w:basedOn w:val="Normal"/>
    <w:next w:val="Normal"/>
    <w:link w:val="Ttulo3Car"/>
    <w:uiPriority w:val="99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Epgrafe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uiPriority w:val="99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D75CA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ar">
    <w:name w:val="Título 3 Car"/>
    <w:aliases w:val="J3 Car"/>
    <w:basedOn w:val="Fuentedeprrafopredeter"/>
    <w:link w:val="Ttulo3"/>
    <w:uiPriority w:val="9"/>
    <w:qFormat/>
    <w:rsid w:val="00D75CAE"/>
    <w:rPr>
      <w:rFonts w:ascii="Arial" w:hAnsi="Arial" w:cs="Arial"/>
      <w:b/>
      <w:i/>
      <w:sz w:val="22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75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5CAE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75C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75CAE"/>
    <w:pPr>
      <w:suppressAutoHyphens w:val="0"/>
      <w:spacing w:before="100" w:beforeAutospacing="1" w:after="100" w:afterAutospacing="1"/>
    </w:pPr>
    <w:rPr>
      <w:sz w:val="24"/>
      <w:szCs w:val="24"/>
      <w:lang w:eastAsia="ca-ES"/>
    </w:rPr>
  </w:style>
  <w:style w:type="paragraph" w:styleId="Sinespaciado">
    <w:name w:val="No Spacing"/>
    <w:uiPriority w:val="1"/>
    <w:qFormat/>
    <w:rsid w:val="00D75C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0E8B"/>
    <w:rPr>
      <w:lang w:eastAsia="zh-CN"/>
    </w:rPr>
  </w:style>
  <w:style w:type="character" w:customStyle="1" w:styleId="EncabezadoCar">
    <w:name w:val="Encabezado Car"/>
    <w:basedOn w:val="Fuentedeprrafopredeter"/>
    <w:link w:val="Encabezado"/>
    <w:rsid w:val="00FC7FB5"/>
    <w:rPr>
      <w:lang w:eastAsia="zh-CN"/>
    </w:rPr>
  </w:style>
  <w:style w:type="paragraph" w:styleId="Textoindependiente3">
    <w:name w:val="Body Text 3"/>
    <w:basedOn w:val="Normal"/>
    <w:link w:val="Textoindependiente3Car"/>
    <w:semiHidden/>
    <w:unhideWhenUsed/>
    <w:rsid w:val="00755B9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B9A"/>
    <w:rPr>
      <w:sz w:val="16"/>
      <w:szCs w:val="16"/>
      <w:lang w:eastAsia="zh-CN"/>
    </w:rPr>
  </w:style>
  <w:style w:type="paragraph" w:customStyle="1" w:styleId="Standard">
    <w:name w:val="Standard"/>
    <w:rsid w:val="000B5CD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9">
    <w:name w:val="Pa9"/>
    <w:basedOn w:val="Normal"/>
    <w:next w:val="Normal"/>
    <w:uiPriority w:val="99"/>
    <w:rsid w:val="000B5CD0"/>
    <w:pPr>
      <w:suppressAutoHyphens w:val="0"/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ncabezado1">
    <w:name w:val="Encabezado 1"/>
    <w:next w:val="Normal"/>
    <w:autoRedefine/>
    <w:uiPriority w:val="9"/>
    <w:qFormat/>
    <w:rsid w:val="00F45784"/>
    <w:pPr>
      <w:widowControl w:val="0"/>
      <w:numPr>
        <w:numId w:val="1"/>
      </w:numPr>
      <w:spacing w:before="120"/>
      <w:outlineLvl w:val="0"/>
    </w:pPr>
    <w:rPr>
      <w:rFonts w:asciiTheme="minorHAnsi" w:eastAsia="Calibri" w:hAnsiTheme="minorHAnsi" w:cstheme="minorHAnsi"/>
      <w:b/>
      <w:sz w:val="22"/>
      <w:szCs w:val="22"/>
      <w:lang w:eastAsia="en-US"/>
    </w:rPr>
  </w:style>
  <w:style w:type="paragraph" w:customStyle="1" w:styleId="Encabezado2">
    <w:name w:val="Encabezado 2"/>
    <w:basedOn w:val="Normal"/>
    <w:next w:val="Normal"/>
    <w:link w:val="Ttulo2Car"/>
    <w:autoRedefine/>
    <w:uiPriority w:val="9"/>
    <w:unhideWhenUsed/>
    <w:qFormat/>
    <w:rsid w:val="00F45784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uppressAutoHyphens w:val="0"/>
      <w:spacing w:before="120"/>
      <w:jc w:val="both"/>
      <w:outlineLvl w:val="1"/>
    </w:pPr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paragraph" w:customStyle="1" w:styleId="Encabezado3">
    <w:name w:val="Encabezado 3"/>
    <w:basedOn w:val="Normal"/>
    <w:next w:val="Normal"/>
    <w:uiPriority w:val="9"/>
    <w:unhideWhenUsed/>
    <w:qFormat/>
    <w:rsid w:val="00F45784"/>
    <w:pPr>
      <w:keepNext/>
      <w:keepLines/>
      <w:numPr>
        <w:ilvl w:val="2"/>
        <w:numId w:val="1"/>
      </w:numPr>
      <w:suppressAutoHyphens w:val="0"/>
      <w:spacing w:before="40"/>
      <w:outlineLvl w:val="2"/>
    </w:pPr>
    <w:rPr>
      <w:rFonts w:asciiTheme="minorHAnsi" w:eastAsiaTheme="majorEastAsia" w:hAnsiTheme="minorHAnsi" w:cstheme="majorBidi"/>
      <w:i/>
      <w:sz w:val="22"/>
      <w:szCs w:val="24"/>
      <w:u w:val="single"/>
      <w:lang w:eastAsia="en-US"/>
    </w:rPr>
  </w:style>
  <w:style w:type="paragraph" w:customStyle="1" w:styleId="Encabezado4">
    <w:name w:val="Encabezado 4"/>
    <w:basedOn w:val="Normal"/>
    <w:next w:val="Normal"/>
    <w:uiPriority w:val="9"/>
    <w:unhideWhenUsed/>
    <w:qFormat/>
    <w:rsid w:val="00F45784"/>
    <w:pPr>
      <w:keepNext/>
      <w:keepLines/>
      <w:numPr>
        <w:ilvl w:val="3"/>
        <w:numId w:val="1"/>
      </w:numPr>
      <w:suppressAutoHyphens w:val="0"/>
      <w:spacing w:before="40"/>
      <w:outlineLvl w:val="3"/>
    </w:pPr>
    <w:rPr>
      <w:rFonts w:asciiTheme="minorHAnsi" w:eastAsiaTheme="majorEastAsia" w:hAnsiTheme="minorHAnsi" w:cstheme="majorBidi"/>
      <w:iCs/>
      <w:sz w:val="22"/>
      <w:szCs w:val="24"/>
      <w:u w:val="single"/>
      <w:lang w:eastAsia="en-US"/>
    </w:rPr>
  </w:style>
  <w:style w:type="paragraph" w:customStyle="1" w:styleId="Encabezado5">
    <w:name w:val="Encabezado 5"/>
    <w:basedOn w:val="Normal"/>
    <w:next w:val="Normal"/>
    <w:uiPriority w:val="9"/>
    <w:unhideWhenUsed/>
    <w:qFormat/>
    <w:rsid w:val="00F45784"/>
    <w:pPr>
      <w:keepNext/>
      <w:keepLines/>
      <w:numPr>
        <w:ilvl w:val="4"/>
        <w:numId w:val="1"/>
      </w:numPr>
      <w:suppressAutoHyphens w:val="0"/>
      <w:spacing w:before="40"/>
      <w:outlineLvl w:val="4"/>
    </w:pPr>
    <w:rPr>
      <w:rFonts w:ascii="Lato" w:eastAsiaTheme="majorEastAsia" w:hAnsi="Lato" w:cstheme="majorBidi"/>
      <w:i/>
      <w:color w:val="E36C0A" w:themeColor="accent6" w:themeShade="BF"/>
      <w:sz w:val="24"/>
      <w:szCs w:val="24"/>
      <w:lang w:val="en-US" w:eastAsia="en-US"/>
    </w:rPr>
  </w:style>
  <w:style w:type="paragraph" w:customStyle="1" w:styleId="Encabezado6">
    <w:name w:val="Encabezado 6"/>
    <w:basedOn w:val="Normal"/>
    <w:next w:val="Normal"/>
    <w:uiPriority w:val="9"/>
    <w:semiHidden/>
    <w:unhideWhenUsed/>
    <w:qFormat/>
    <w:rsid w:val="00F45784"/>
    <w:pPr>
      <w:keepNext/>
      <w:keepLines/>
      <w:numPr>
        <w:ilvl w:val="5"/>
        <w:numId w:val="1"/>
      </w:numPr>
      <w:suppressAutoHyphens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Encabezado7">
    <w:name w:val="Encabezado 7"/>
    <w:basedOn w:val="Normal"/>
    <w:next w:val="Normal"/>
    <w:uiPriority w:val="9"/>
    <w:semiHidden/>
    <w:unhideWhenUsed/>
    <w:qFormat/>
    <w:rsid w:val="00F45784"/>
    <w:pPr>
      <w:keepNext/>
      <w:keepLines/>
      <w:numPr>
        <w:ilvl w:val="6"/>
        <w:numId w:val="1"/>
      </w:numPr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Encabezado8">
    <w:name w:val="Encabezado 8"/>
    <w:basedOn w:val="Normal"/>
    <w:next w:val="Normal"/>
    <w:uiPriority w:val="9"/>
    <w:semiHidden/>
    <w:unhideWhenUsed/>
    <w:qFormat/>
    <w:rsid w:val="00F45784"/>
    <w:pPr>
      <w:keepNext/>
      <w:keepLines/>
      <w:numPr>
        <w:ilvl w:val="7"/>
        <w:numId w:val="1"/>
      </w:numPr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customStyle="1" w:styleId="Encabezado9">
    <w:name w:val="Encabezado 9"/>
    <w:basedOn w:val="Normal"/>
    <w:next w:val="Normal"/>
    <w:uiPriority w:val="9"/>
    <w:semiHidden/>
    <w:unhideWhenUsed/>
    <w:qFormat/>
    <w:rsid w:val="00F45784"/>
    <w:pPr>
      <w:keepNext/>
      <w:keepLines/>
      <w:numPr>
        <w:ilvl w:val="8"/>
        <w:numId w:val="1"/>
      </w:numPr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F45784"/>
    <w:rPr>
      <w:rFonts w:asciiTheme="minorHAnsi" w:eastAsiaTheme="majorEastAsia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9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9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9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7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14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96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13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7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82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46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6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7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1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3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59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25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04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91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83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7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7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0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2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35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2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57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2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185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60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84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63398-76A4-4621-A60C-1DC08F2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0</TotalTime>
  <Pages>3</Pages>
  <Words>1288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...</cp:lastModifiedBy>
  <cp:revision>2</cp:revision>
  <cp:lastPrinted>2019-04-18T08:14:00Z</cp:lastPrinted>
  <dcterms:created xsi:type="dcterms:W3CDTF">2021-05-03T09:43:00Z</dcterms:created>
  <dcterms:modified xsi:type="dcterms:W3CDTF">2021-05-03T09:43:00Z</dcterms:modified>
</cp:coreProperties>
</file>